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8148" w14:textId="77777777" w:rsidR="00674ECC" w:rsidRDefault="00674ECC">
      <w:pPr>
        <w:spacing w:after="0"/>
        <w:ind w:left="-1440" w:right="10466"/>
      </w:pPr>
    </w:p>
    <w:tbl>
      <w:tblPr>
        <w:tblStyle w:val="TableGrid"/>
        <w:tblW w:w="10065" w:type="dxa"/>
        <w:tblInd w:w="-714" w:type="dxa"/>
        <w:tblCellMar>
          <w:top w:w="4" w:type="dxa"/>
          <w:left w:w="0" w:type="dxa"/>
          <w:bottom w:w="5" w:type="dxa"/>
          <w:right w:w="10" w:type="dxa"/>
        </w:tblCellMar>
        <w:tblLook w:val="04A0" w:firstRow="1" w:lastRow="0" w:firstColumn="1" w:lastColumn="0" w:noHBand="0" w:noVBand="1"/>
      </w:tblPr>
      <w:tblGrid>
        <w:gridCol w:w="5924"/>
        <w:gridCol w:w="2126"/>
        <w:gridCol w:w="402"/>
        <w:gridCol w:w="402"/>
        <w:gridCol w:w="276"/>
        <w:gridCol w:w="126"/>
        <w:gridCol w:w="402"/>
        <w:gridCol w:w="407"/>
      </w:tblGrid>
      <w:tr w:rsidR="00674ECC" w14:paraId="797E0A25" w14:textId="77777777">
        <w:trPr>
          <w:trHeight w:val="1388"/>
        </w:trPr>
        <w:tc>
          <w:tcPr>
            <w:tcW w:w="10065" w:type="dxa"/>
            <w:gridSpan w:val="8"/>
            <w:tcBorders>
              <w:top w:val="single" w:sz="4" w:space="0" w:color="000000"/>
              <w:left w:val="single" w:sz="4" w:space="0" w:color="000000"/>
              <w:bottom w:val="single" w:sz="4" w:space="0" w:color="000000"/>
              <w:right w:val="single" w:sz="4" w:space="0" w:color="000000"/>
            </w:tcBorders>
            <w:shd w:val="clear" w:color="auto" w:fill="0060A9"/>
            <w:vAlign w:val="center"/>
          </w:tcPr>
          <w:p w14:paraId="31ED7A1A" w14:textId="77777777" w:rsidR="00674ECC" w:rsidRDefault="00FE5B75">
            <w:pPr>
              <w:spacing w:after="32"/>
              <w:ind w:left="107"/>
            </w:pPr>
            <w:r>
              <w:rPr>
                <w:b/>
                <w:color w:val="FFFFFF"/>
                <w:sz w:val="32"/>
              </w:rPr>
              <w:t xml:space="preserve">EXAM BOARD </w:t>
            </w:r>
            <w:proofErr w:type="gramStart"/>
            <w:r>
              <w:rPr>
                <w:b/>
                <w:color w:val="FFFFFF"/>
                <w:sz w:val="32"/>
              </w:rPr>
              <w:t>-  AQA</w:t>
            </w:r>
            <w:proofErr w:type="gramEnd"/>
            <w:r>
              <w:rPr>
                <w:b/>
                <w:color w:val="FFFFFF"/>
                <w:sz w:val="32"/>
              </w:rPr>
              <w:t xml:space="preserve"> English Language (8700), AQA English Literature </w:t>
            </w:r>
          </w:p>
          <w:p w14:paraId="7E721434" w14:textId="77777777" w:rsidR="00674ECC" w:rsidRDefault="00FE5B75">
            <w:pPr>
              <w:spacing w:after="0"/>
              <w:ind w:left="107"/>
            </w:pPr>
            <w:r>
              <w:rPr>
                <w:b/>
                <w:color w:val="FFFFFF"/>
                <w:sz w:val="32"/>
              </w:rPr>
              <w:t>(8702)</w:t>
            </w:r>
            <w:r>
              <w:rPr>
                <w:b/>
                <w:sz w:val="24"/>
              </w:rPr>
              <w:t xml:space="preserve"> </w:t>
            </w:r>
          </w:p>
        </w:tc>
      </w:tr>
      <w:tr w:rsidR="00674ECC" w14:paraId="17B6B1E2" w14:textId="77777777">
        <w:trPr>
          <w:trHeight w:val="436"/>
        </w:trPr>
        <w:tc>
          <w:tcPr>
            <w:tcW w:w="10065" w:type="dxa"/>
            <w:gridSpan w:val="8"/>
            <w:tcBorders>
              <w:top w:val="single" w:sz="4" w:space="0" w:color="000000"/>
              <w:left w:val="single" w:sz="4" w:space="0" w:color="000000"/>
              <w:bottom w:val="single" w:sz="4" w:space="0" w:color="000000"/>
              <w:right w:val="single" w:sz="4" w:space="0" w:color="000000"/>
            </w:tcBorders>
          </w:tcPr>
          <w:p w14:paraId="73582600" w14:textId="77777777" w:rsidR="00674ECC" w:rsidRDefault="00FE5B75">
            <w:pPr>
              <w:spacing w:after="0"/>
              <w:ind w:left="47"/>
              <w:jc w:val="center"/>
            </w:pPr>
            <w:r>
              <w:rPr>
                <w:b/>
                <w:sz w:val="16"/>
              </w:rPr>
              <w:t xml:space="preserve"> </w:t>
            </w:r>
          </w:p>
        </w:tc>
      </w:tr>
      <w:tr w:rsidR="00674ECC" w14:paraId="0F445DBD" w14:textId="77777777">
        <w:trPr>
          <w:trHeight w:val="648"/>
        </w:trPr>
        <w:tc>
          <w:tcPr>
            <w:tcW w:w="5671" w:type="dxa"/>
            <w:vMerge w:val="restart"/>
            <w:tcBorders>
              <w:top w:val="single" w:sz="4" w:space="0" w:color="000000"/>
              <w:left w:val="single" w:sz="4" w:space="0" w:color="000000"/>
              <w:bottom w:val="single" w:sz="4" w:space="0" w:color="000000"/>
              <w:right w:val="single" w:sz="4" w:space="0" w:color="000000"/>
            </w:tcBorders>
            <w:vAlign w:val="bottom"/>
          </w:tcPr>
          <w:p w14:paraId="56D2E386" w14:textId="77777777" w:rsidR="00674ECC" w:rsidRDefault="00FE5B75">
            <w:pPr>
              <w:spacing w:after="154"/>
              <w:ind w:right="39"/>
              <w:jc w:val="right"/>
            </w:pPr>
            <w:r>
              <w:rPr>
                <w:noProof/>
              </w:rPr>
              <w:drawing>
                <wp:inline distT="0" distB="0" distL="0" distR="0" wp14:anchorId="425D356F" wp14:editId="0CD7C748">
                  <wp:extent cx="3463290" cy="2308860"/>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7"/>
                          <a:stretch>
                            <a:fillRect/>
                          </a:stretch>
                        </pic:blipFill>
                        <pic:spPr>
                          <a:xfrm>
                            <a:off x="0" y="0"/>
                            <a:ext cx="3463290" cy="2308860"/>
                          </a:xfrm>
                          <a:prstGeom prst="rect">
                            <a:avLst/>
                          </a:prstGeom>
                        </pic:spPr>
                      </pic:pic>
                    </a:graphicData>
                  </a:graphic>
                </wp:inline>
              </w:drawing>
            </w:r>
            <w:r>
              <w:rPr>
                <w:sz w:val="24"/>
              </w:rPr>
              <w:t xml:space="preserve"> </w:t>
            </w:r>
          </w:p>
          <w:p w14:paraId="736F5CE6" w14:textId="77777777" w:rsidR="00674ECC" w:rsidRDefault="00FE5B75">
            <w:pPr>
              <w:spacing w:after="200"/>
              <w:ind w:left="107"/>
            </w:pPr>
            <w:r>
              <w:rPr>
                <w:sz w:val="24"/>
              </w:rPr>
              <w:t xml:space="preserve">Full course details can be found at: </w:t>
            </w:r>
          </w:p>
          <w:p w14:paraId="124BDFDD" w14:textId="77777777" w:rsidR="00674ECC" w:rsidRDefault="00FE5B75">
            <w:pPr>
              <w:spacing w:after="199" w:line="276" w:lineRule="auto"/>
              <w:ind w:left="107"/>
            </w:pPr>
            <w:hyperlink r:id="rId8">
              <w:r>
                <w:rPr>
                  <w:color w:val="0563C1"/>
                  <w:u w:val="single" w:color="0563C1"/>
                </w:rPr>
                <w:t>https://www.aqa.org.uk/subjects/english/gcse/english</w:t>
              </w:r>
            </w:hyperlink>
            <w:hyperlink r:id="rId9"/>
            <w:hyperlink r:id="rId10">
              <w:r>
                <w:rPr>
                  <w:color w:val="0563C1"/>
                  <w:u w:val="single" w:color="0563C1"/>
                </w:rPr>
                <w:t>language</w:t>
              </w:r>
            </w:hyperlink>
            <w:hyperlink r:id="rId11">
              <w:r>
                <w:rPr>
                  <w:color w:val="0563C1"/>
                  <w:u w:val="single" w:color="0563C1"/>
                </w:rPr>
                <w:t>-</w:t>
              </w:r>
            </w:hyperlink>
            <w:hyperlink r:id="rId12">
              <w:r>
                <w:rPr>
                  <w:color w:val="0563C1"/>
                  <w:u w:val="single" w:color="0563C1"/>
                </w:rPr>
                <w:t>8700</w:t>
              </w:r>
            </w:hyperlink>
            <w:hyperlink r:id="rId13">
              <w:r>
                <w:t xml:space="preserve"> </w:t>
              </w:r>
            </w:hyperlink>
          </w:p>
          <w:p w14:paraId="03D7E1F4" w14:textId="77777777" w:rsidR="00674ECC" w:rsidRDefault="00FE5B75">
            <w:pPr>
              <w:spacing w:after="0"/>
              <w:ind w:left="107"/>
            </w:pPr>
            <w:hyperlink r:id="rId14">
              <w:r>
                <w:rPr>
                  <w:color w:val="0563C1"/>
                  <w:u w:val="single" w:color="0563C1"/>
                </w:rPr>
                <w:t>https://www.aqa.org.uk/subjects/english/gcse/english</w:t>
              </w:r>
            </w:hyperlink>
            <w:hyperlink r:id="rId15"/>
            <w:hyperlink r:id="rId16">
              <w:r>
                <w:rPr>
                  <w:color w:val="0563C1"/>
                  <w:u w:val="single" w:color="0563C1"/>
                </w:rPr>
                <w:t>literature</w:t>
              </w:r>
            </w:hyperlink>
            <w:hyperlink r:id="rId17">
              <w:r>
                <w:rPr>
                  <w:color w:val="0563C1"/>
                  <w:u w:val="single" w:color="0563C1"/>
                </w:rPr>
                <w:t>-</w:t>
              </w:r>
            </w:hyperlink>
            <w:hyperlink r:id="rId18">
              <w:r>
                <w:rPr>
                  <w:color w:val="0563C1"/>
                  <w:u w:val="single" w:color="0563C1"/>
                </w:rPr>
                <w:t>8702</w:t>
              </w:r>
            </w:hyperlink>
            <w:hyperlink r:id="rId19">
              <w:r>
                <w:t xml:space="preserve"> </w:t>
              </w:r>
            </w:hyperlink>
          </w:p>
        </w:tc>
        <w:tc>
          <w:tcPr>
            <w:tcW w:w="4394" w:type="dxa"/>
            <w:gridSpan w:val="7"/>
            <w:tcBorders>
              <w:top w:val="single" w:sz="4" w:space="0" w:color="000000"/>
              <w:left w:val="single" w:sz="4" w:space="0" w:color="000000"/>
              <w:bottom w:val="single" w:sz="4" w:space="0" w:color="000000"/>
              <w:right w:val="single" w:sz="4" w:space="0" w:color="000000"/>
            </w:tcBorders>
            <w:vAlign w:val="center"/>
          </w:tcPr>
          <w:p w14:paraId="0C03F7C1" w14:textId="77777777" w:rsidR="00674ECC" w:rsidRDefault="00FE5B75">
            <w:pPr>
              <w:spacing w:after="0"/>
              <w:ind w:left="14"/>
              <w:jc w:val="center"/>
            </w:pPr>
            <w:r>
              <w:rPr>
                <w:rFonts w:ascii="Ink Free" w:eastAsia="Ink Free" w:hAnsi="Ink Free" w:cs="Ink Free"/>
                <w:color w:val="A50021"/>
                <w:sz w:val="28"/>
              </w:rPr>
              <w:t>Course Choice Guide</w:t>
            </w:r>
            <w:r>
              <w:rPr>
                <w:rFonts w:ascii="Ink Free" w:eastAsia="Ink Free" w:hAnsi="Ink Free" w:cs="Ink Free"/>
                <w:sz w:val="28"/>
              </w:rPr>
              <w:t xml:space="preserve"> </w:t>
            </w:r>
          </w:p>
        </w:tc>
      </w:tr>
      <w:tr w:rsidR="00674ECC" w14:paraId="7B36B8C4" w14:textId="77777777">
        <w:trPr>
          <w:trHeight w:val="389"/>
        </w:trPr>
        <w:tc>
          <w:tcPr>
            <w:tcW w:w="0" w:type="auto"/>
            <w:vMerge/>
            <w:tcBorders>
              <w:top w:val="nil"/>
              <w:left w:val="single" w:sz="4" w:space="0" w:color="000000"/>
              <w:bottom w:val="nil"/>
              <w:right w:val="single" w:sz="4" w:space="0" w:color="000000"/>
            </w:tcBorders>
          </w:tcPr>
          <w:p w14:paraId="4CCCDF18" w14:textId="77777777" w:rsidR="00674ECC" w:rsidRDefault="00674ECC"/>
        </w:tc>
        <w:tc>
          <w:tcPr>
            <w:tcW w:w="2264" w:type="dxa"/>
            <w:tcBorders>
              <w:top w:val="single" w:sz="4" w:space="0" w:color="000000"/>
              <w:left w:val="single" w:sz="4" w:space="0" w:color="000000"/>
              <w:bottom w:val="single" w:sz="4" w:space="0" w:color="000000"/>
              <w:right w:val="single" w:sz="4" w:space="0" w:color="000000"/>
            </w:tcBorders>
          </w:tcPr>
          <w:p w14:paraId="6A9787D7" w14:textId="77777777" w:rsidR="00674ECC" w:rsidRDefault="00FE5B75">
            <w:pPr>
              <w:spacing w:after="0"/>
              <w:ind w:left="108"/>
            </w:pPr>
            <w:r>
              <w:rPr>
                <w:rFonts w:ascii="Ink Free" w:eastAsia="Ink Free" w:hAnsi="Ink Free" w:cs="Ink Free"/>
                <w:sz w:val="24"/>
              </w:rPr>
              <w:t xml:space="preserve">Literacy                   </w:t>
            </w:r>
          </w:p>
        </w:tc>
        <w:tc>
          <w:tcPr>
            <w:tcW w:w="425" w:type="dxa"/>
            <w:tcBorders>
              <w:top w:val="single" w:sz="4" w:space="0" w:color="000000"/>
              <w:left w:val="single" w:sz="4" w:space="0" w:color="000000"/>
              <w:bottom w:val="single" w:sz="4" w:space="0" w:color="000000"/>
              <w:right w:val="single" w:sz="4" w:space="0" w:color="000000"/>
            </w:tcBorders>
          </w:tcPr>
          <w:p w14:paraId="52432111" w14:textId="77777777" w:rsidR="00674ECC" w:rsidRDefault="00FE5B75">
            <w:pPr>
              <w:spacing w:after="0"/>
              <w:ind w:left="-10"/>
              <w:jc w:val="both"/>
            </w:pPr>
            <w:r>
              <w:rPr>
                <w:rFonts w:ascii="Ink Free" w:eastAsia="Ink Free" w:hAnsi="Ink Free" w:cs="Ink Free"/>
                <w:sz w:val="24"/>
              </w:rPr>
              <w:t xml:space="preserve"> </w:t>
            </w: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4585A78" w14:textId="77777777" w:rsidR="00674ECC" w:rsidRDefault="00FE5B75">
            <w:pPr>
              <w:spacing w:after="0"/>
              <w:ind w:left="108"/>
              <w:jc w:val="both"/>
            </w:pPr>
            <w:r>
              <w:rPr>
                <w:rFonts w:ascii="Wingdings" w:eastAsia="Wingdings" w:hAnsi="Wingdings" w:cs="Wingdings"/>
                <w:sz w:val="24"/>
              </w:rPr>
              <w:t></w:t>
            </w:r>
            <w:r>
              <w:rPr>
                <w:sz w:val="24"/>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C93B0DD" w14:textId="77777777" w:rsidR="00674ECC" w:rsidRDefault="00FE5B75">
            <w:pPr>
              <w:spacing w:after="0"/>
              <w:ind w:left="108"/>
              <w:jc w:val="both"/>
            </w:pPr>
            <w:r>
              <w:rPr>
                <w:rFonts w:ascii="Wingdings" w:eastAsia="Wingdings" w:hAnsi="Wingdings" w:cs="Wingdings"/>
                <w:sz w:val="24"/>
              </w:rPr>
              <w:t></w:t>
            </w:r>
            <w:r>
              <w:rPr>
                <w:b/>
                <w:color w:val="A50021"/>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F5177B" w14:textId="77777777" w:rsidR="00674ECC" w:rsidRDefault="00FE5B75">
            <w:pPr>
              <w:spacing w:after="0"/>
              <w:ind w:left="108"/>
              <w:jc w:val="both"/>
            </w:pPr>
            <w:r>
              <w:rPr>
                <w:rFonts w:ascii="Wingdings" w:eastAsia="Wingdings" w:hAnsi="Wingdings" w:cs="Wingdings"/>
                <w:sz w:val="24"/>
              </w:rPr>
              <w:t></w:t>
            </w:r>
            <w:r>
              <w:rPr>
                <w:color w:val="A50021"/>
                <w:sz w:val="24"/>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7D9293A2" w14:textId="77777777" w:rsidR="00674ECC" w:rsidRDefault="00FE5B75">
            <w:pPr>
              <w:spacing w:after="0"/>
              <w:ind w:left="108"/>
              <w:jc w:val="both"/>
            </w:pPr>
            <w:r>
              <w:rPr>
                <w:rFonts w:ascii="Wingdings" w:eastAsia="Wingdings" w:hAnsi="Wingdings" w:cs="Wingdings"/>
                <w:sz w:val="24"/>
              </w:rPr>
              <w:t></w:t>
            </w:r>
            <w:r>
              <w:rPr>
                <w:b/>
                <w:sz w:val="24"/>
              </w:rPr>
              <w:t xml:space="preserve"> </w:t>
            </w:r>
          </w:p>
        </w:tc>
      </w:tr>
      <w:tr w:rsidR="00674ECC" w14:paraId="26ED2F1E" w14:textId="77777777">
        <w:trPr>
          <w:trHeight w:val="307"/>
        </w:trPr>
        <w:tc>
          <w:tcPr>
            <w:tcW w:w="0" w:type="auto"/>
            <w:vMerge/>
            <w:tcBorders>
              <w:top w:val="nil"/>
              <w:left w:val="single" w:sz="4" w:space="0" w:color="000000"/>
              <w:bottom w:val="nil"/>
              <w:right w:val="single" w:sz="4" w:space="0" w:color="000000"/>
            </w:tcBorders>
          </w:tcPr>
          <w:p w14:paraId="7D5B2E69" w14:textId="77777777" w:rsidR="00674ECC" w:rsidRDefault="00674ECC"/>
        </w:tc>
        <w:tc>
          <w:tcPr>
            <w:tcW w:w="2264" w:type="dxa"/>
            <w:tcBorders>
              <w:top w:val="single" w:sz="4" w:space="0" w:color="000000"/>
              <w:left w:val="single" w:sz="4" w:space="0" w:color="000000"/>
              <w:bottom w:val="single" w:sz="4" w:space="0" w:color="000000"/>
              <w:right w:val="single" w:sz="4" w:space="0" w:color="000000"/>
            </w:tcBorders>
          </w:tcPr>
          <w:p w14:paraId="2E10720C" w14:textId="77777777" w:rsidR="00674ECC" w:rsidRDefault="00FE5B75">
            <w:pPr>
              <w:spacing w:after="0"/>
              <w:ind w:left="108"/>
            </w:pPr>
            <w:r>
              <w:rPr>
                <w:rFonts w:ascii="Ink Free" w:eastAsia="Ink Free" w:hAnsi="Ink Free" w:cs="Ink Free"/>
                <w:sz w:val="24"/>
              </w:rPr>
              <w:t xml:space="preserve">Numeracy      </w:t>
            </w:r>
          </w:p>
        </w:tc>
        <w:tc>
          <w:tcPr>
            <w:tcW w:w="425" w:type="dxa"/>
            <w:tcBorders>
              <w:top w:val="single" w:sz="4" w:space="0" w:color="000000"/>
              <w:left w:val="single" w:sz="4" w:space="0" w:color="000000"/>
              <w:bottom w:val="single" w:sz="4" w:space="0" w:color="000000"/>
              <w:right w:val="single" w:sz="4" w:space="0" w:color="000000"/>
            </w:tcBorders>
          </w:tcPr>
          <w:p w14:paraId="47F41299" w14:textId="77777777" w:rsidR="00674ECC" w:rsidRDefault="00FE5B75">
            <w:pPr>
              <w:spacing w:after="0"/>
              <w:ind w:left="106"/>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97A420F" w14:textId="77777777" w:rsidR="00674ECC" w:rsidRDefault="00FE5B75">
            <w:pPr>
              <w:spacing w:after="0"/>
              <w:ind w:left="108"/>
            </w:pPr>
            <w:r>
              <w:rPr>
                <w:rFonts w:ascii="Ink Free" w:eastAsia="Ink Free" w:hAnsi="Ink Free" w:cs="Ink Free"/>
                <w:sz w:val="24"/>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6245286B" w14:textId="77777777" w:rsidR="00674ECC" w:rsidRDefault="00FE5B75">
            <w:pPr>
              <w:spacing w:after="0"/>
              <w:ind w:left="108"/>
            </w:pP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22C6B2A" w14:textId="77777777" w:rsidR="00674ECC" w:rsidRDefault="00FE5B75">
            <w:pPr>
              <w:spacing w:after="0"/>
              <w:ind w:left="108"/>
            </w:pPr>
            <w:r>
              <w:rPr>
                <w:rFonts w:ascii="Ink Free" w:eastAsia="Ink Free" w:hAnsi="Ink Free" w:cs="Ink Free"/>
                <w:sz w:val="24"/>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4D17D903" w14:textId="77777777" w:rsidR="00674ECC" w:rsidRDefault="00FE5B75">
            <w:pPr>
              <w:spacing w:after="0"/>
              <w:ind w:left="108"/>
            </w:pPr>
            <w:r>
              <w:rPr>
                <w:rFonts w:ascii="Ink Free" w:eastAsia="Ink Free" w:hAnsi="Ink Free" w:cs="Ink Free"/>
                <w:sz w:val="24"/>
              </w:rPr>
              <w:t xml:space="preserve"> </w:t>
            </w:r>
          </w:p>
        </w:tc>
      </w:tr>
      <w:tr w:rsidR="00674ECC" w14:paraId="23D02A6E" w14:textId="77777777">
        <w:trPr>
          <w:trHeight w:val="401"/>
        </w:trPr>
        <w:tc>
          <w:tcPr>
            <w:tcW w:w="0" w:type="auto"/>
            <w:vMerge/>
            <w:tcBorders>
              <w:top w:val="nil"/>
              <w:left w:val="single" w:sz="4" w:space="0" w:color="000000"/>
              <w:bottom w:val="nil"/>
              <w:right w:val="single" w:sz="4" w:space="0" w:color="000000"/>
            </w:tcBorders>
          </w:tcPr>
          <w:p w14:paraId="7435625E" w14:textId="77777777" w:rsidR="00674ECC" w:rsidRDefault="00674ECC"/>
        </w:tc>
        <w:tc>
          <w:tcPr>
            <w:tcW w:w="2264" w:type="dxa"/>
            <w:tcBorders>
              <w:top w:val="single" w:sz="4" w:space="0" w:color="000000"/>
              <w:left w:val="single" w:sz="4" w:space="0" w:color="000000"/>
              <w:bottom w:val="single" w:sz="4" w:space="0" w:color="000000"/>
              <w:right w:val="single" w:sz="4" w:space="0" w:color="000000"/>
            </w:tcBorders>
          </w:tcPr>
          <w:p w14:paraId="3F0BB380" w14:textId="77777777" w:rsidR="00674ECC" w:rsidRDefault="00FE5B75">
            <w:pPr>
              <w:spacing w:after="0"/>
              <w:ind w:left="108"/>
            </w:pPr>
            <w:r>
              <w:rPr>
                <w:rFonts w:ascii="Ink Free" w:eastAsia="Ink Free" w:hAnsi="Ink Free" w:cs="Ink Free"/>
                <w:sz w:val="24"/>
              </w:rPr>
              <w:t xml:space="preserve">Creativity </w:t>
            </w:r>
          </w:p>
        </w:tc>
        <w:tc>
          <w:tcPr>
            <w:tcW w:w="425" w:type="dxa"/>
            <w:tcBorders>
              <w:top w:val="single" w:sz="4" w:space="0" w:color="000000"/>
              <w:left w:val="single" w:sz="4" w:space="0" w:color="000000"/>
              <w:bottom w:val="single" w:sz="4" w:space="0" w:color="000000"/>
              <w:right w:val="single" w:sz="4" w:space="0" w:color="000000"/>
            </w:tcBorders>
          </w:tcPr>
          <w:p w14:paraId="3EF1F903" w14:textId="77777777" w:rsidR="00674ECC" w:rsidRDefault="00FE5B75">
            <w:pPr>
              <w:spacing w:after="0"/>
              <w:ind w:left="106"/>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3EAB4D1"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E278FC4"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C323E1"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6F4421C3"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r>
      <w:tr w:rsidR="00674ECC" w14:paraId="06CABE0D" w14:textId="77777777">
        <w:trPr>
          <w:trHeight w:val="307"/>
        </w:trPr>
        <w:tc>
          <w:tcPr>
            <w:tcW w:w="0" w:type="auto"/>
            <w:vMerge/>
            <w:tcBorders>
              <w:top w:val="nil"/>
              <w:left w:val="single" w:sz="4" w:space="0" w:color="000000"/>
              <w:bottom w:val="nil"/>
              <w:right w:val="single" w:sz="4" w:space="0" w:color="000000"/>
            </w:tcBorders>
          </w:tcPr>
          <w:p w14:paraId="03F889B8" w14:textId="77777777" w:rsidR="00674ECC" w:rsidRDefault="00674ECC"/>
        </w:tc>
        <w:tc>
          <w:tcPr>
            <w:tcW w:w="2264" w:type="dxa"/>
            <w:tcBorders>
              <w:top w:val="single" w:sz="4" w:space="0" w:color="000000"/>
              <w:left w:val="single" w:sz="4" w:space="0" w:color="000000"/>
              <w:bottom w:val="single" w:sz="4" w:space="0" w:color="000000"/>
              <w:right w:val="single" w:sz="4" w:space="0" w:color="000000"/>
            </w:tcBorders>
          </w:tcPr>
          <w:p w14:paraId="70C7FD75" w14:textId="77777777" w:rsidR="00674ECC" w:rsidRDefault="00FE5B75">
            <w:pPr>
              <w:spacing w:after="0"/>
              <w:ind w:left="108"/>
            </w:pPr>
            <w:r>
              <w:rPr>
                <w:rFonts w:ascii="Ink Free" w:eastAsia="Ink Free" w:hAnsi="Ink Free" w:cs="Ink Free"/>
                <w:sz w:val="24"/>
              </w:rPr>
              <w:t xml:space="preserve">Communications  </w:t>
            </w:r>
          </w:p>
        </w:tc>
        <w:tc>
          <w:tcPr>
            <w:tcW w:w="425" w:type="dxa"/>
            <w:tcBorders>
              <w:top w:val="single" w:sz="4" w:space="0" w:color="000000"/>
              <w:left w:val="single" w:sz="4" w:space="0" w:color="000000"/>
              <w:bottom w:val="single" w:sz="4" w:space="0" w:color="000000"/>
              <w:right w:val="single" w:sz="4" w:space="0" w:color="000000"/>
            </w:tcBorders>
          </w:tcPr>
          <w:p w14:paraId="43535263" w14:textId="77777777" w:rsidR="00674ECC" w:rsidRDefault="00FE5B75">
            <w:pPr>
              <w:spacing w:after="0"/>
              <w:ind w:left="106"/>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E8C748E"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D606E90"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77E5146"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64009E6E"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r>
      <w:tr w:rsidR="00674ECC" w14:paraId="3A27C649" w14:textId="77777777">
        <w:trPr>
          <w:trHeight w:val="396"/>
        </w:trPr>
        <w:tc>
          <w:tcPr>
            <w:tcW w:w="0" w:type="auto"/>
            <w:vMerge/>
            <w:tcBorders>
              <w:top w:val="nil"/>
              <w:left w:val="single" w:sz="4" w:space="0" w:color="000000"/>
              <w:bottom w:val="nil"/>
              <w:right w:val="single" w:sz="4" w:space="0" w:color="000000"/>
            </w:tcBorders>
          </w:tcPr>
          <w:p w14:paraId="2AE9B544" w14:textId="77777777" w:rsidR="00674ECC" w:rsidRDefault="00674ECC"/>
        </w:tc>
        <w:tc>
          <w:tcPr>
            <w:tcW w:w="2264" w:type="dxa"/>
            <w:tcBorders>
              <w:top w:val="single" w:sz="4" w:space="0" w:color="000000"/>
              <w:left w:val="single" w:sz="4" w:space="0" w:color="000000"/>
              <w:bottom w:val="single" w:sz="4" w:space="0" w:color="000000"/>
              <w:right w:val="single" w:sz="4" w:space="0" w:color="000000"/>
            </w:tcBorders>
          </w:tcPr>
          <w:p w14:paraId="62DBC28D" w14:textId="77777777" w:rsidR="00674ECC" w:rsidRDefault="00FE5B75">
            <w:pPr>
              <w:spacing w:after="0"/>
              <w:ind w:left="108"/>
            </w:pPr>
            <w:r>
              <w:rPr>
                <w:rFonts w:ascii="Ink Free" w:eastAsia="Ink Free" w:hAnsi="Ink Free" w:cs="Ink Free"/>
                <w:sz w:val="24"/>
              </w:rPr>
              <w:t xml:space="preserve">Practical </w:t>
            </w:r>
          </w:p>
        </w:tc>
        <w:tc>
          <w:tcPr>
            <w:tcW w:w="425" w:type="dxa"/>
            <w:tcBorders>
              <w:top w:val="single" w:sz="4" w:space="0" w:color="000000"/>
              <w:left w:val="single" w:sz="4" w:space="0" w:color="000000"/>
              <w:bottom w:val="single" w:sz="4" w:space="0" w:color="000000"/>
              <w:right w:val="single" w:sz="4" w:space="0" w:color="000000"/>
            </w:tcBorders>
          </w:tcPr>
          <w:p w14:paraId="23C374B0" w14:textId="77777777" w:rsidR="00674ECC" w:rsidRDefault="00FE5B75">
            <w:pPr>
              <w:spacing w:after="0"/>
              <w:ind w:left="106"/>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C605922"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74834FC" w14:textId="77777777" w:rsidR="00674ECC" w:rsidRDefault="00FE5B75">
            <w:pPr>
              <w:spacing w:after="0"/>
              <w:ind w:left="108"/>
            </w:pP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2573E6" w14:textId="77777777" w:rsidR="00674ECC" w:rsidRDefault="00FE5B75">
            <w:pPr>
              <w:spacing w:after="0"/>
              <w:ind w:left="108"/>
            </w:pPr>
            <w:r>
              <w:rPr>
                <w:rFonts w:ascii="Ink Free" w:eastAsia="Ink Free" w:hAnsi="Ink Free" w:cs="Ink Free"/>
                <w:sz w:val="24"/>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7FDC1BE9" w14:textId="77777777" w:rsidR="00674ECC" w:rsidRDefault="00FE5B75">
            <w:pPr>
              <w:spacing w:after="0"/>
              <w:ind w:left="108"/>
            </w:pPr>
            <w:r>
              <w:rPr>
                <w:rFonts w:ascii="Ink Free" w:eastAsia="Ink Free" w:hAnsi="Ink Free" w:cs="Ink Free"/>
                <w:sz w:val="24"/>
              </w:rPr>
              <w:t xml:space="preserve"> </w:t>
            </w:r>
          </w:p>
        </w:tc>
      </w:tr>
      <w:tr w:rsidR="00674ECC" w14:paraId="072C0DAB" w14:textId="77777777">
        <w:trPr>
          <w:trHeight w:val="430"/>
        </w:trPr>
        <w:tc>
          <w:tcPr>
            <w:tcW w:w="0" w:type="auto"/>
            <w:vMerge/>
            <w:tcBorders>
              <w:top w:val="nil"/>
              <w:left w:val="single" w:sz="4" w:space="0" w:color="000000"/>
              <w:bottom w:val="nil"/>
              <w:right w:val="single" w:sz="4" w:space="0" w:color="000000"/>
            </w:tcBorders>
          </w:tcPr>
          <w:p w14:paraId="22EEB61D" w14:textId="77777777" w:rsidR="00674ECC" w:rsidRDefault="00674ECC"/>
        </w:tc>
        <w:tc>
          <w:tcPr>
            <w:tcW w:w="2264" w:type="dxa"/>
            <w:tcBorders>
              <w:top w:val="single" w:sz="4" w:space="0" w:color="000000"/>
              <w:left w:val="single" w:sz="4" w:space="0" w:color="000000"/>
              <w:bottom w:val="single" w:sz="4" w:space="0" w:color="000000"/>
              <w:right w:val="single" w:sz="4" w:space="0" w:color="000000"/>
            </w:tcBorders>
          </w:tcPr>
          <w:p w14:paraId="3ACD36F9" w14:textId="77777777" w:rsidR="00674ECC" w:rsidRDefault="00FE5B75">
            <w:pPr>
              <w:spacing w:after="0"/>
              <w:ind w:left="108"/>
            </w:pPr>
            <w:r>
              <w:rPr>
                <w:rFonts w:ascii="Ink Free" w:eastAsia="Ink Free" w:hAnsi="Ink Free" w:cs="Ink Free"/>
                <w:sz w:val="24"/>
              </w:rPr>
              <w:t>Group Work</w:t>
            </w: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C2D063" w14:textId="77777777" w:rsidR="00674ECC" w:rsidRDefault="00FE5B75">
            <w:pPr>
              <w:spacing w:after="0"/>
              <w:ind w:left="106"/>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C14F50"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40C98E3"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2521ABA" w14:textId="77777777" w:rsidR="00674ECC" w:rsidRDefault="00FE5B75">
            <w:pPr>
              <w:spacing w:after="0"/>
              <w:ind w:left="108"/>
              <w:jc w:val="both"/>
            </w:pPr>
            <w:r>
              <w:rPr>
                <w:rFonts w:ascii="Wingdings" w:eastAsia="Wingdings" w:hAnsi="Wingdings" w:cs="Wingdings"/>
                <w:sz w:val="24"/>
              </w:rPr>
              <w:t></w:t>
            </w:r>
            <w:r>
              <w:rPr>
                <w:rFonts w:ascii="Ink Free" w:eastAsia="Ink Free" w:hAnsi="Ink Free" w:cs="Ink Free"/>
                <w:sz w:val="24"/>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12D81861" w14:textId="77777777" w:rsidR="00674ECC" w:rsidRDefault="00FE5B75">
            <w:pPr>
              <w:spacing w:after="0"/>
              <w:ind w:left="108"/>
            </w:pPr>
            <w:r>
              <w:rPr>
                <w:rFonts w:ascii="Ink Free" w:eastAsia="Ink Free" w:hAnsi="Ink Free" w:cs="Ink Free"/>
                <w:sz w:val="24"/>
              </w:rPr>
              <w:t xml:space="preserve"> </w:t>
            </w:r>
          </w:p>
        </w:tc>
      </w:tr>
      <w:tr w:rsidR="00674ECC" w14:paraId="62514EB2" w14:textId="77777777">
        <w:trPr>
          <w:trHeight w:val="358"/>
        </w:trPr>
        <w:tc>
          <w:tcPr>
            <w:tcW w:w="0" w:type="auto"/>
            <w:vMerge/>
            <w:tcBorders>
              <w:top w:val="nil"/>
              <w:left w:val="single" w:sz="4" w:space="0" w:color="000000"/>
              <w:bottom w:val="nil"/>
              <w:right w:val="single" w:sz="4" w:space="0" w:color="000000"/>
            </w:tcBorders>
          </w:tcPr>
          <w:p w14:paraId="40151716" w14:textId="77777777" w:rsidR="00674ECC" w:rsidRDefault="00674ECC"/>
        </w:tc>
        <w:tc>
          <w:tcPr>
            <w:tcW w:w="4394" w:type="dxa"/>
            <w:gridSpan w:val="7"/>
            <w:tcBorders>
              <w:top w:val="single" w:sz="4" w:space="0" w:color="000000"/>
              <w:left w:val="single" w:sz="4" w:space="0" w:color="000000"/>
              <w:bottom w:val="single" w:sz="4" w:space="0" w:color="000000"/>
              <w:right w:val="single" w:sz="4" w:space="0" w:color="000000"/>
            </w:tcBorders>
          </w:tcPr>
          <w:p w14:paraId="04238927" w14:textId="77777777" w:rsidR="00674ECC" w:rsidRDefault="00FE5B75">
            <w:pPr>
              <w:spacing w:after="0"/>
              <w:ind w:left="197"/>
            </w:pPr>
            <w:r>
              <w:rPr>
                <w:rFonts w:ascii="Ink Free" w:eastAsia="Ink Free" w:hAnsi="Ink Free" w:cs="Ink Free"/>
                <w:color w:val="A50021"/>
                <w:sz w:val="28"/>
              </w:rPr>
              <w:t xml:space="preserve">Teaching, Learning &amp; Assessment </w:t>
            </w:r>
          </w:p>
        </w:tc>
      </w:tr>
      <w:tr w:rsidR="00674ECC" w14:paraId="13AB9063" w14:textId="77777777">
        <w:trPr>
          <w:trHeight w:val="2827"/>
        </w:trPr>
        <w:tc>
          <w:tcPr>
            <w:tcW w:w="0" w:type="auto"/>
            <w:vMerge/>
            <w:tcBorders>
              <w:top w:val="nil"/>
              <w:left w:val="single" w:sz="4" w:space="0" w:color="000000"/>
              <w:bottom w:val="single" w:sz="4" w:space="0" w:color="000000"/>
              <w:right w:val="single" w:sz="4" w:space="0" w:color="000000"/>
            </w:tcBorders>
          </w:tcPr>
          <w:p w14:paraId="6444DEF9" w14:textId="77777777" w:rsidR="00674ECC" w:rsidRDefault="00674ECC"/>
        </w:tc>
        <w:tc>
          <w:tcPr>
            <w:tcW w:w="3397" w:type="dxa"/>
            <w:gridSpan w:val="4"/>
            <w:tcBorders>
              <w:top w:val="single" w:sz="4" w:space="0" w:color="000000"/>
              <w:left w:val="single" w:sz="4" w:space="0" w:color="000000"/>
              <w:bottom w:val="single" w:sz="4" w:space="0" w:color="000000"/>
              <w:right w:val="single" w:sz="4" w:space="0" w:color="000000"/>
            </w:tcBorders>
          </w:tcPr>
          <w:p w14:paraId="412AEE45" w14:textId="77777777" w:rsidR="00674ECC" w:rsidRDefault="00FE5B75">
            <w:pPr>
              <w:spacing w:after="0"/>
              <w:ind w:left="108"/>
            </w:pPr>
            <w:r>
              <w:rPr>
                <w:rFonts w:ascii="Ink Free" w:eastAsia="Ink Free" w:hAnsi="Ink Free" w:cs="Ink Free"/>
                <w:sz w:val="24"/>
              </w:rPr>
              <w:t xml:space="preserve">Examinations for English </w:t>
            </w:r>
          </w:p>
          <w:p w14:paraId="2703918D" w14:textId="77777777" w:rsidR="00674ECC" w:rsidRDefault="00FE5B75">
            <w:pPr>
              <w:spacing w:after="0"/>
              <w:ind w:left="108"/>
            </w:pPr>
            <w:r>
              <w:rPr>
                <w:rFonts w:ascii="Ink Free" w:eastAsia="Ink Free" w:hAnsi="Ink Free" w:cs="Ink Free"/>
                <w:sz w:val="24"/>
              </w:rPr>
              <w:t xml:space="preserve">language (2 x 1.45 hours) </w:t>
            </w:r>
          </w:p>
          <w:p w14:paraId="4EF3A8CF" w14:textId="77777777" w:rsidR="00674ECC" w:rsidRDefault="00FE5B75">
            <w:pPr>
              <w:spacing w:after="0"/>
              <w:ind w:left="108"/>
            </w:pPr>
            <w:r>
              <w:rPr>
                <w:rFonts w:ascii="Ink Free" w:eastAsia="Ink Free" w:hAnsi="Ink Free" w:cs="Ink Free"/>
                <w:sz w:val="24"/>
              </w:rPr>
              <w:t xml:space="preserve"> </w:t>
            </w:r>
          </w:p>
          <w:p w14:paraId="749FFE30" w14:textId="77777777" w:rsidR="00674ECC" w:rsidRDefault="00FE5B75">
            <w:pPr>
              <w:spacing w:after="0"/>
              <w:ind w:left="108"/>
            </w:pPr>
            <w:r>
              <w:rPr>
                <w:rFonts w:ascii="Ink Free" w:eastAsia="Ink Free" w:hAnsi="Ink Free" w:cs="Ink Free"/>
                <w:sz w:val="24"/>
              </w:rPr>
              <w:t xml:space="preserve">Examinations for English </w:t>
            </w:r>
          </w:p>
          <w:p w14:paraId="38E77458" w14:textId="77777777" w:rsidR="00674ECC" w:rsidRDefault="00FE5B75">
            <w:pPr>
              <w:spacing w:after="0"/>
              <w:ind w:left="108"/>
            </w:pPr>
            <w:r>
              <w:rPr>
                <w:rFonts w:ascii="Ink Free" w:eastAsia="Ink Free" w:hAnsi="Ink Free" w:cs="Ink Free"/>
                <w:sz w:val="24"/>
              </w:rPr>
              <w:t xml:space="preserve">Literature (1 x 1.45 hours and </w:t>
            </w:r>
          </w:p>
          <w:p w14:paraId="22672604" w14:textId="77777777" w:rsidR="00674ECC" w:rsidRDefault="00FE5B75">
            <w:pPr>
              <w:spacing w:after="0"/>
              <w:ind w:left="108"/>
              <w:rPr>
                <w:rFonts w:ascii="Ink Free" w:eastAsia="Ink Free" w:hAnsi="Ink Free" w:cs="Ink Free"/>
                <w:sz w:val="24"/>
              </w:rPr>
            </w:pPr>
            <w:r>
              <w:rPr>
                <w:rFonts w:ascii="Ink Free" w:eastAsia="Ink Free" w:hAnsi="Ink Free" w:cs="Ink Free"/>
                <w:sz w:val="24"/>
              </w:rPr>
              <w:t xml:space="preserve">1 x 2.15 hours)  </w:t>
            </w:r>
          </w:p>
          <w:p w14:paraId="6A2A3D52" w14:textId="77777777" w:rsidR="009E7D26" w:rsidRPr="009E7D26" w:rsidRDefault="009E7D26">
            <w:pPr>
              <w:spacing w:after="0"/>
              <w:ind w:left="108"/>
              <w:rPr>
                <w:rFonts w:ascii="Ink Free" w:hAnsi="Ink Free"/>
                <w:sz w:val="24"/>
              </w:rPr>
            </w:pPr>
            <w:r w:rsidRPr="009E7D26">
              <w:rPr>
                <w:rFonts w:ascii="Ink Free" w:hAnsi="Ink Free"/>
                <w:sz w:val="24"/>
              </w:rPr>
              <w:t>Spoken language assessment (10-minute verbal presentation)</w:t>
            </w:r>
          </w:p>
          <w:p w14:paraId="717F52C5" w14:textId="77777777" w:rsidR="00674ECC" w:rsidRDefault="00FE5B75">
            <w:pPr>
              <w:spacing w:after="0"/>
              <w:ind w:left="108"/>
            </w:pPr>
            <w:r>
              <w:rPr>
                <w:rFonts w:ascii="Ink Free" w:eastAsia="Ink Free" w:hAnsi="Ink Free" w:cs="Ink Free"/>
                <w:sz w:val="24"/>
              </w:rPr>
              <w:t xml:space="preserve"> </w:t>
            </w:r>
          </w:p>
        </w:tc>
        <w:tc>
          <w:tcPr>
            <w:tcW w:w="997" w:type="dxa"/>
            <w:gridSpan w:val="3"/>
            <w:tcBorders>
              <w:top w:val="single" w:sz="4" w:space="0" w:color="000000"/>
              <w:left w:val="single" w:sz="4" w:space="0" w:color="000000"/>
              <w:bottom w:val="single" w:sz="4" w:space="0" w:color="000000"/>
              <w:right w:val="single" w:sz="4" w:space="0" w:color="000000"/>
            </w:tcBorders>
          </w:tcPr>
          <w:p w14:paraId="3C97438E" w14:textId="77777777" w:rsidR="00674ECC" w:rsidRDefault="00FE5B75">
            <w:pPr>
              <w:spacing w:after="0"/>
              <w:ind w:left="108"/>
            </w:pPr>
            <w:r>
              <w:rPr>
                <w:b/>
                <w:sz w:val="24"/>
              </w:rPr>
              <w:t xml:space="preserve">100% </w:t>
            </w:r>
          </w:p>
          <w:p w14:paraId="12077F52" w14:textId="77777777" w:rsidR="00674ECC" w:rsidRDefault="00FE5B75">
            <w:pPr>
              <w:spacing w:after="0"/>
              <w:ind w:left="108"/>
            </w:pPr>
            <w:r>
              <w:rPr>
                <w:b/>
                <w:sz w:val="24"/>
              </w:rPr>
              <w:t xml:space="preserve"> </w:t>
            </w:r>
          </w:p>
          <w:p w14:paraId="44AC335F" w14:textId="77777777" w:rsidR="00674ECC" w:rsidRDefault="00FE5B75">
            <w:pPr>
              <w:spacing w:after="0"/>
              <w:ind w:left="108"/>
            </w:pPr>
            <w:r>
              <w:rPr>
                <w:b/>
                <w:sz w:val="24"/>
              </w:rPr>
              <w:t xml:space="preserve"> </w:t>
            </w:r>
          </w:p>
          <w:p w14:paraId="1D3BA166" w14:textId="77777777" w:rsidR="00674ECC" w:rsidRDefault="00FE5B75">
            <w:pPr>
              <w:spacing w:after="0"/>
              <w:ind w:left="108"/>
            </w:pPr>
            <w:r>
              <w:rPr>
                <w:b/>
                <w:sz w:val="24"/>
              </w:rPr>
              <w:t xml:space="preserve">100% </w:t>
            </w:r>
          </w:p>
        </w:tc>
      </w:tr>
      <w:tr w:rsidR="00674ECC" w14:paraId="47D8D646" w14:textId="77777777">
        <w:trPr>
          <w:trHeight w:val="1762"/>
        </w:trPr>
        <w:tc>
          <w:tcPr>
            <w:tcW w:w="10065" w:type="dxa"/>
            <w:gridSpan w:val="8"/>
            <w:tcBorders>
              <w:top w:val="single" w:sz="4" w:space="0" w:color="000000"/>
              <w:left w:val="single" w:sz="4" w:space="0" w:color="000000"/>
              <w:bottom w:val="single" w:sz="4" w:space="0" w:color="000000"/>
              <w:right w:val="single" w:sz="4" w:space="0" w:color="000000"/>
            </w:tcBorders>
            <w:vAlign w:val="bottom"/>
          </w:tcPr>
          <w:p w14:paraId="37CEE0A2" w14:textId="77777777" w:rsidR="00674ECC" w:rsidRDefault="00FE5B75">
            <w:pPr>
              <w:spacing w:after="152"/>
              <w:ind w:left="107"/>
            </w:pPr>
            <w:r>
              <w:rPr>
                <w:rFonts w:ascii="Ink Free" w:eastAsia="Ink Free" w:hAnsi="Ink Free" w:cs="Ink Free"/>
                <w:color w:val="A50021"/>
                <w:sz w:val="24"/>
              </w:rPr>
              <w:t xml:space="preserve">VISION OF </w:t>
            </w:r>
            <w:r w:rsidR="009E7D26">
              <w:rPr>
                <w:rFonts w:ascii="Ink Free" w:eastAsia="Ink Free" w:hAnsi="Ink Free" w:cs="Ink Free"/>
                <w:color w:val="A50021"/>
                <w:sz w:val="24"/>
              </w:rPr>
              <w:t>DEPARTMENT</w:t>
            </w:r>
          </w:p>
          <w:p w14:paraId="168C894F" w14:textId="77777777" w:rsidR="00674ECC" w:rsidRDefault="00FE5B75">
            <w:pPr>
              <w:spacing w:after="0" w:line="240" w:lineRule="auto"/>
              <w:ind w:left="107"/>
            </w:pPr>
            <w:r>
              <w:rPr>
                <w:sz w:val="24"/>
              </w:rPr>
              <w:t>English aspires to be an outstanding department that promotes life</w:t>
            </w:r>
            <w:r w:rsidR="009E7D26">
              <w:rPr>
                <w:sz w:val="24"/>
              </w:rPr>
              <w:t>-</w:t>
            </w:r>
            <w:r>
              <w:rPr>
                <w:sz w:val="24"/>
              </w:rPr>
              <w:t>long readers and nurtures a love of literature</w:t>
            </w:r>
            <w:r w:rsidR="009E7D26">
              <w:rPr>
                <w:sz w:val="24"/>
              </w:rPr>
              <w:t>, as well as ensuring that students are well prepared for their examinations and the future study if English based courses and careers</w:t>
            </w:r>
            <w:r>
              <w:rPr>
                <w:sz w:val="24"/>
              </w:rPr>
              <w:t>. We aim to encourage an appreciation of the power and beauty of words and the ways that words can be used to ensure all voices are heard and a</w:t>
            </w:r>
            <w:r>
              <w:rPr>
                <w:sz w:val="24"/>
              </w:rPr>
              <w:t xml:space="preserve">ll ideas are understood. </w:t>
            </w:r>
          </w:p>
          <w:p w14:paraId="287C691A" w14:textId="77777777" w:rsidR="00674ECC" w:rsidRDefault="00FE5B75">
            <w:pPr>
              <w:spacing w:after="0"/>
              <w:ind w:left="107"/>
            </w:pPr>
            <w:r>
              <w:rPr>
                <w:sz w:val="24"/>
              </w:rPr>
              <w:t xml:space="preserve"> </w:t>
            </w:r>
          </w:p>
        </w:tc>
      </w:tr>
      <w:tr w:rsidR="00674ECC" w14:paraId="53B8D409" w14:textId="77777777">
        <w:trPr>
          <w:trHeight w:val="5573"/>
        </w:trPr>
        <w:tc>
          <w:tcPr>
            <w:tcW w:w="10065" w:type="dxa"/>
            <w:gridSpan w:val="8"/>
            <w:tcBorders>
              <w:top w:val="single" w:sz="4" w:space="0" w:color="000000"/>
              <w:left w:val="single" w:sz="4" w:space="0" w:color="000000"/>
              <w:bottom w:val="single" w:sz="4" w:space="0" w:color="000000"/>
              <w:right w:val="single" w:sz="4" w:space="0" w:color="000000"/>
            </w:tcBorders>
            <w:vAlign w:val="bottom"/>
          </w:tcPr>
          <w:p w14:paraId="64A10E60" w14:textId="77777777" w:rsidR="00674ECC" w:rsidRDefault="00FE5B75">
            <w:pPr>
              <w:spacing w:after="152"/>
              <w:ind w:left="107"/>
            </w:pPr>
            <w:r>
              <w:rPr>
                <w:rFonts w:ascii="Ink Free" w:eastAsia="Ink Free" w:hAnsi="Ink Free" w:cs="Ink Free"/>
                <w:color w:val="A50021"/>
                <w:sz w:val="24"/>
              </w:rPr>
              <w:lastRenderedPageBreak/>
              <w:t xml:space="preserve">SUMMARY OF COURSE </w:t>
            </w:r>
          </w:p>
          <w:p w14:paraId="11B155A4" w14:textId="77777777" w:rsidR="00674ECC" w:rsidRDefault="00FE5B75">
            <w:pPr>
              <w:spacing w:after="0" w:line="240" w:lineRule="auto"/>
              <w:ind w:left="107" w:right="57"/>
            </w:pPr>
            <w:r>
              <w:rPr>
                <w:sz w:val="24"/>
              </w:rPr>
              <w:t>All students will be entered for the Double GCSE Award English Language and English Literature course. Over two years students will enjoy a range of poetry, prose, drama and non-</w:t>
            </w:r>
            <w:r>
              <w:rPr>
                <w:sz w:val="24"/>
              </w:rPr>
              <w:t>fiction texts.  Studying these aspects will prepare students for final exams in May/June of Year 11. In addition</w:t>
            </w:r>
            <w:r w:rsidR="009E7D26">
              <w:rPr>
                <w:sz w:val="24"/>
              </w:rPr>
              <w:t>,</w:t>
            </w:r>
            <w:r>
              <w:rPr>
                <w:sz w:val="24"/>
              </w:rPr>
              <w:t xml:space="preserve"> there will be a Spoken Language element to the course which requires students to give a </w:t>
            </w:r>
            <w:proofErr w:type="gramStart"/>
            <w:r w:rsidR="009E7D26">
              <w:rPr>
                <w:sz w:val="24"/>
              </w:rPr>
              <w:t>10</w:t>
            </w:r>
            <w:r>
              <w:rPr>
                <w:sz w:val="24"/>
              </w:rPr>
              <w:t xml:space="preserve"> minute</w:t>
            </w:r>
            <w:proofErr w:type="gramEnd"/>
            <w:r>
              <w:rPr>
                <w:sz w:val="24"/>
              </w:rPr>
              <w:t xml:space="preserve"> spoken presentation and take questions from an</w:t>
            </w:r>
            <w:r>
              <w:rPr>
                <w:sz w:val="24"/>
              </w:rPr>
              <w:t xml:space="preserve"> audience. </w:t>
            </w:r>
          </w:p>
          <w:p w14:paraId="5B2F231B" w14:textId="77777777" w:rsidR="00674ECC" w:rsidRDefault="00FE5B75">
            <w:pPr>
              <w:spacing w:after="0"/>
              <w:ind w:left="107"/>
            </w:pPr>
            <w:r>
              <w:rPr>
                <w:sz w:val="24"/>
              </w:rPr>
              <w:t xml:space="preserve"> </w:t>
            </w:r>
          </w:p>
          <w:p w14:paraId="3A62BB4B" w14:textId="77777777" w:rsidR="00674ECC" w:rsidRDefault="00FE5B75">
            <w:pPr>
              <w:spacing w:after="2" w:line="240" w:lineRule="auto"/>
              <w:ind w:left="107"/>
            </w:pPr>
            <w:r>
              <w:rPr>
                <w:sz w:val="24"/>
              </w:rPr>
              <w:t>Texts studied will include: Shakespeare’s ‘Romeo and Juliet</w:t>
            </w:r>
            <w:r>
              <w:rPr>
                <w:sz w:val="24"/>
              </w:rPr>
              <w:t xml:space="preserve">’, </w:t>
            </w:r>
            <w:r w:rsidR="009E7D26">
              <w:rPr>
                <w:sz w:val="24"/>
              </w:rPr>
              <w:t>J.B Priestley’s ‘An Inspector Calls’</w:t>
            </w:r>
            <w:r>
              <w:rPr>
                <w:sz w:val="24"/>
              </w:rPr>
              <w:t>, Charles Dickens ‘A Christmas Carol’, alongside a selection of poetry from the AQA anthology entitled ‘Power and Conflict’. A final as</w:t>
            </w:r>
            <w:r>
              <w:rPr>
                <w:sz w:val="24"/>
              </w:rPr>
              <w:t xml:space="preserve">pect will be the study of a range of unseen poetry. </w:t>
            </w:r>
          </w:p>
          <w:p w14:paraId="78B80914" w14:textId="77777777" w:rsidR="00674ECC" w:rsidRDefault="00FE5B75">
            <w:pPr>
              <w:spacing w:after="0"/>
              <w:ind w:left="107"/>
            </w:pPr>
            <w:r>
              <w:rPr>
                <w:sz w:val="24"/>
              </w:rPr>
              <w:t xml:space="preserve"> </w:t>
            </w:r>
          </w:p>
          <w:p w14:paraId="4741467E" w14:textId="77777777" w:rsidR="00674ECC" w:rsidRDefault="00FE5B75">
            <w:pPr>
              <w:spacing w:after="0" w:line="240" w:lineRule="auto"/>
              <w:ind w:left="107"/>
            </w:pPr>
            <w:r>
              <w:rPr>
                <w:sz w:val="24"/>
              </w:rPr>
              <w:t xml:space="preserve">Both English Language and English Literature are linear courses and will be assessed through examinations. </w:t>
            </w:r>
          </w:p>
          <w:p w14:paraId="2E3A1DED" w14:textId="77777777" w:rsidR="00674ECC" w:rsidRDefault="00FE5B75">
            <w:pPr>
              <w:spacing w:after="0"/>
              <w:ind w:left="107"/>
            </w:pPr>
            <w:r>
              <w:rPr>
                <w:sz w:val="24"/>
              </w:rPr>
              <w:t xml:space="preserve"> </w:t>
            </w:r>
          </w:p>
          <w:p w14:paraId="069AD1E3" w14:textId="77777777" w:rsidR="00674ECC" w:rsidRDefault="00FE5B75">
            <w:pPr>
              <w:spacing w:after="0" w:line="240" w:lineRule="auto"/>
              <w:ind w:left="107"/>
            </w:pPr>
            <w:r>
              <w:rPr>
                <w:sz w:val="24"/>
              </w:rPr>
              <w:t xml:space="preserve">For the English Language GCSE course students will sit two papers which will examine their </w:t>
            </w:r>
            <w:r>
              <w:rPr>
                <w:sz w:val="24"/>
              </w:rPr>
              <w:t xml:space="preserve">reading skills through responses to selected pre and post 19th Century texts. It will also examine their ability to write creatively in a variety of forms aimed at different audiences. </w:t>
            </w:r>
          </w:p>
          <w:p w14:paraId="7C729B32" w14:textId="77777777" w:rsidR="00674ECC" w:rsidRDefault="00FE5B75">
            <w:pPr>
              <w:spacing w:after="0"/>
              <w:ind w:left="107"/>
            </w:pPr>
            <w:r>
              <w:rPr>
                <w:sz w:val="24"/>
              </w:rPr>
              <w:t xml:space="preserve"> </w:t>
            </w:r>
          </w:p>
        </w:tc>
      </w:tr>
      <w:tr w:rsidR="00674ECC" w14:paraId="1241337C" w14:textId="77777777">
        <w:trPr>
          <w:trHeight w:val="2355"/>
        </w:trPr>
        <w:tc>
          <w:tcPr>
            <w:tcW w:w="10065" w:type="dxa"/>
            <w:gridSpan w:val="8"/>
            <w:tcBorders>
              <w:top w:val="single" w:sz="4" w:space="0" w:color="000000"/>
              <w:left w:val="single" w:sz="4" w:space="0" w:color="000000"/>
              <w:bottom w:val="single" w:sz="4" w:space="0" w:color="000000"/>
              <w:right w:val="single" w:sz="4" w:space="0" w:color="000000"/>
            </w:tcBorders>
          </w:tcPr>
          <w:p w14:paraId="74AB354F" w14:textId="77777777" w:rsidR="00674ECC" w:rsidRDefault="00FE5B75">
            <w:pPr>
              <w:spacing w:after="0" w:line="240" w:lineRule="auto"/>
            </w:pPr>
            <w:r>
              <w:rPr>
                <w:sz w:val="24"/>
              </w:rPr>
              <w:t>In Literature students will be examined on the texts studied in class. They will be expected to answer one essay</w:t>
            </w:r>
            <w:r w:rsidR="009E7D26">
              <w:rPr>
                <w:sz w:val="24"/>
              </w:rPr>
              <w:t>-</w:t>
            </w:r>
            <w:r>
              <w:rPr>
                <w:sz w:val="24"/>
              </w:rPr>
              <w:t xml:space="preserve">based question on each text they study, including a comparative essay on the Power and Conflict Poetry. </w:t>
            </w:r>
          </w:p>
          <w:p w14:paraId="672901F2" w14:textId="77777777" w:rsidR="00674ECC" w:rsidRDefault="00FE5B75">
            <w:pPr>
              <w:spacing w:after="0"/>
            </w:pPr>
            <w:r>
              <w:rPr>
                <w:sz w:val="24"/>
              </w:rPr>
              <w:t xml:space="preserve"> </w:t>
            </w:r>
          </w:p>
          <w:p w14:paraId="2B3C90A2" w14:textId="77777777" w:rsidR="00674ECC" w:rsidRDefault="00FE5B75">
            <w:pPr>
              <w:spacing w:after="0" w:line="241" w:lineRule="auto"/>
            </w:pPr>
            <w:r>
              <w:rPr>
                <w:sz w:val="24"/>
              </w:rPr>
              <w:t>The spoken Language study will be as</w:t>
            </w:r>
            <w:r>
              <w:rPr>
                <w:sz w:val="24"/>
              </w:rPr>
              <w:t xml:space="preserve">sessed in class and students will be awarded a Pass, Merit or distinction. Students must complete this aspect of the course to fulfil the requirements of the GCSE although the grade for this will be separate to the other aspects of the GCSE. </w:t>
            </w:r>
          </w:p>
          <w:p w14:paraId="4D856A05" w14:textId="77777777" w:rsidR="00674ECC" w:rsidRDefault="00FE5B75">
            <w:pPr>
              <w:spacing w:after="0"/>
            </w:pPr>
            <w:r>
              <w:rPr>
                <w:sz w:val="24"/>
              </w:rPr>
              <w:t xml:space="preserve"> </w:t>
            </w:r>
          </w:p>
        </w:tc>
      </w:tr>
      <w:tr w:rsidR="00674ECC" w14:paraId="0FDDDEA7" w14:textId="77777777">
        <w:trPr>
          <w:trHeight w:val="4858"/>
        </w:trPr>
        <w:tc>
          <w:tcPr>
            <w:tcW w:w="10065" w:type="dxa"/>
            <w:gridSpan w:val="8"/>
            <w:tcBorders>
              <w:top w:val="single" w:sz="4" w:space="0" w:color="000000"/>
              <w:left w:val="single" w:sz="4" w:space="0" w:color="000000"/>
              <w:bottom w:val="single" w:sz="4" w:space="0" w:color="000000"/>
              <w:right w:val="single" w:sz="4" w:space="0" w:color="000000"/>
            </w:tcBorders>
            <w:vAlign w:val="center"/>
          </w:tcPr>
          <w:p w14:paraId="6A60E493" w14:textId="77777777" w:rsidR="00674ECC" w:rsidRDefault="00FE5B75">
            <w:pPr>
              <w:spacing w:after="152"/>
            </w:pPr>
            <w:r>
              <w:rPr>
                <w:rFonts w:ascii="Ink Free" w:eastAsia="Ink Free" w:hAnsi="Ink Free" w:cs="Ink Free"/>
                <w:color w:val="A50021"/>
                <w:sz w:val="24"/>
              </w:rPr>
              <w:t>WHAT IT CA</w:t>
            </w:r>
            <w:r>
              <w:rPr>
                <w:rFonts w:ascii="Ink Free" w:eastAsia="Ink Free" w:hAnsi="Ink Free" w:cs="Ink Free"/>
                <w:color w:val="A50021"/>
                <w:sz w:val="24"/>
              </w:rPr>
              <w:t xml:space="preserve">N LEAD TO AT COLLEGE AND BEYOND </w:t>
            </w:r>
          </w:p>
          <w:p w14:paraId="222DD503" w14:textId="77777777" w:rsidR="00674ECC" w:rsidRDefault="00FE5B75">
            <w:pPr>
              <w:spacing w:after="0" w:line="240" w:lineRule="auto"/>
              <w:ind w:right="5"/>
            </w:pPr>
            <w:r>
              <w:rPr>
                <w:sz w:val="24"/>
              </w:rPr>
              <w:t xml:space="preserve">Communication is fundamental in all areas of life. As well as an invaluable tool for the future.  English Literature is also essential for students who are willing to explore and challenge the opinions of others.  </w:t>
            </w:r>
          </w:p>
          <w:p w14:paraId="5351A65C" w14:textId="77777777" w:rsidR="00674ECC" w:rsidRDefault="00FE5B75">
            <w:pPr>
              <w:spacing w:after="0"/>
            </w:pPr>
            <w:r>
              <w:rPr>
                <w:sz w:val="24"/>
              </w:rPr>
              <w:t xml:space="preserve"> </w:t>
            </w:r>
          </w:p>
          <w:p w14:paraId="7E680231" w14:textId="77777777" w:rsidR="00674ECC" w:rsidRDefault="00FE5B75">
            <w:pPr>
              <w:spacing w:after="0"/>
            </w:pPr>
            <w:r>
              <w:rPr>
                <w:sz w:val="24"/>
              </w:rPr>
              <w:t xml:space="preserve">English Language is a required GCSE for the majority of college courses generally a minimum of a </w:t>
            </w:r>
          </w:p>
          <w:p w14:paraId="77290BC8" w14:textId="77777777" w:rsidR="00674ECC" w:rsidRDefault="00FE5B75">
            <w:pPr>
              <w:spacing w:after="0" w:line="240" w:lineRule="auto"/>
            </w:pPr>
            <w:r>
              <w:rPr>
                <w:sz w:val="24"/>
              </w:rPr>
              <w:t>Grade 4 or 5. In Addition it can open the doors to communication</w:t>
            </w:r>
            <w:r w:rsidR="008A7E8E">
              <w:rPr>
                <w:sz w:val="24"/>
              </w:rPr>
              <w:t>-</w:t>
            </w:r>
            <w:r>
              <w:rPr>
                <w:sz w:val="24"/>
              </w:rPr>
              <w:t>based courses and careers. English Language A level, Creative Writing and Media based courses</w:t>
            </w:r>
            <w:r>
              <w:rPr>
                <w:sz w:val="24"/>
              </w:rPr>
              <w:t xml:space="preserve"> will all benefit from a strong foundation in English Language GCSE. Careers include jobs in writing, publishing, the media industry and teaching (both English Language and English as a Foreign Language in the UK and abroad). </w:t>
            </w:r>
          </w:p>
          <w:p w14:paraId="7CB5ECC4" w14:textId="77777777" w:rsidR="00674ECC" w:rsidRDefault="00FE5B75">
            <w:pPr>
              <w:spacing w:after="0"/>
            </w:pPr>
            <w:r>
              <w:rPr>
                <w:sz w:val="24"/>
              </w:rPr>
              <w:t xml:space="preserve"> </w:t>
            </w:r>
          </w:p>
          <w:p w14:paraId="6A4917CE" w14:textId="77777777" w:rsidR="00674ECC" w:rsidRDefault="00FE5B75">
            <w:pPr>
              <w:spacing w:after="0" w:line="240" w:lineRule="auto"/>
            </w:pPr>
            <w:r>
              <w:rPr>
                <w:sz w:val="24"/>
              </w:rPr>
              <w:t>English Literature is requi</w:t>
            </w:r>
            <w:r>
              <w:rPr>
                <w:sz w:val="24"/>
              </w:rPr>
              <w:t>red at GCSE in order to study it at A-Level. It is also a benefit to other English related courses and A-Levels that require extended writing, such as History. Literature can open the door to many communication</w:t>
            </w:r>
            <w:r w:rsidR="008A7E8E">
              <w:rPr>
                <w:sz w:val="24"/>
              </w:rPr>
              <w:t>-</w:t>
            </w:r>
            <w:r>
              <w:rPr>
                <w:sz w:val="24"/>
              </w:rPr>
              <w:t xml:space="preserve">based careers or academia. </w:t>
            </w:r>
          </w:p>
          <w:p w14:paraId="11233CBD" w14:textId="77777777" w:rsidR="00674ECC" w:rsidRDefault="00FE5B75">
            <w:pPr>
              <w:spacing w:after="0"/>
            </w:pPr>
            <w:r>
              <w:rPr>
                <w:sz w:val="24"/>
              </w:rPr>
              <w:t xml:space="preserve"> </w:t>
            </w:r>
          </w:p>
        </w:tc>
      </w:tr>
      <w:tr w:rsidR="00674ECC" w14:paraId="658BB8BA" w14:textId="77777777">
        <w:trPr>
          <w:trHeight w:val="3261"/>
        </w:trPr>
        <w:tc>
          <w:tcPr>
            <w:tcW w:w="10065" w:type="dxa"/>
            <w:gridSpan w:val="8"/>
            <w:tcBorders>
              <w:top w:val="single" w:sz="4" w:space="0" w:color="000000"/>
              <w:left w:val="single" w:sz="4" w:space="0" w:color="000000"/>
              <w:bottom w:val="single" w:sz="4" w:space="0" w:color="000000"/>
              <w:right w:val="single" w:sz="4" w:space="0" w:color="000000"/>
            </w:tcBorders>
            <w:vAlign w:val="bottom"/>
          </w:tcPr>
          <w:p w14:paraId="4DB364CA" w14:textId="77777777" w:rsidR="00674ECC" w:rsidRDefault="00FE5B75">
            <w:pPr>
              <w:spacing w:after="132" w:line="275" w:lineRule="auto"/>
            </w:pPr>
            <w:r>
              <w:rPr>
                <w:rFonts w:ascii="Ink Free" w:eastAsia="Ink Free" w:hAnsi="Ink Free" w:cs="Ink Free"/>
                <w:color w:val="A50021"/>
                <w:sz w:val="24"/>
              </w:rPr>
              <w:lastRenderedPageBreak/>
              <w:t>EXTRA-CURRICUL</w:t>
            </w:r>
            <w:r>
              <w:rPr>
                <w:rFonts w:ascii="Ink Free" w:eastAsia="Ink Free" w:hAnsi="Ink Free" w:cs="Ink Free"/>
                <w:color w:val="A50021"/>
                <w:sz w:val="24"/>
              </w:rPr>
              <w:t xml:space="preserve">AR COMMITMENT, </w:t>
            </w:r>
            <w:r w:rsidR="008A7E8E">
              <w:rPr>
                <w:rFonts w:ascii="Ink Free" w:eastAsia="Ink Free" w:hAnsi="Ink Free" w:cs="Ink Free"/>
                <w:color w:val="A50021"/>
                <w:sz w:val="24"/>
              </w:rPr>
              <w:t>ENTRY REQUIREMENTS</w:t>
            </w:r>
            <w:r>
              <w:rPr>
                <w:rFonts w:ascii="Ink Free" w:eastAsia="Ink Free" w:hAnsi="Ink Free" w:cs="Ink Free"/>
                <w:color w:val="A50021"/>
                <w:sz w:val="24"/>
              </w:rPr>
              <w:t xml:space="preserve"> AND ADDITIONAL INFORMATION </w:t>
            </w:r>
          </w:p>
          <w:p w14:paraId="762E7518" w14:textId="77777777" w:rsidR="008A7E8E" w:rsidRDefault="00FE5B75" w:rsidP="008A7E8E">
            <w:pPr>
              <w:spacing w:after="0" w:line="240" w:lineRule="auto"/>
              <w:rPr>
                <w:sz w:val="24"/>
              </w:rPr>
            </w:pPr>
            <w:r>
              <w:rPr>
                <w:sz w:val="24"/>
              </w:rPr>
              <w:t xml:space="preserve">Students will be expected to undertake independent review and revision of the literature texts studied throughout the course, using </w:t>
            </w:r>
            <w:r w:rsidR="008A7E8E">
              <w:rPr>
                <w:sz w:val="24"/>
              </w:rPr>
              <w:t>a variety of revision materials</w:t>
            </w:r>
            <w:r>
              <w:rPr>
                <w:sz w:val="24"/>
              </w:rPr>
              <w:t xml:space="preserve"> Ideally, students will purchase their own copies of the texts so that they can make notes on them in class and use them for revision at home. A weekly homework will be of up to 1 hour in length and will used to embed knowledge for all aspects of t</w:t>
            </w:r>
            <w:r>
              <w:rPr>
                <w:sz w:val="24"/>
              </w:rPr>
              <w:t xml:space="preserve">he exam. In addition, students will be asked to prepare a </w:t>
            </w:r>
            <w:proofErr w:type="gramStart"/>
            <w:r>
              <w:rPr>
                <w:sz w:val="24"/>
              </w:rPr>
              <w:t>5 minute</w:t>
            </w:r>
            <w:proofErr w:type="gramEnd"/>
            <w:r>
              <w:rPr>
                <w:sz w:val="24"/>
              </w:rPr>
              <w:t xml:space="preserve"> spoken presentation and learn it independently. </w:t>
            </w:r>
          </w:p>
          <w:p w14:paraId="6F4F0025" w14:textId="77777777" w:rsidR="008A7E8E" w:rsidRPr="008A7E8E" w:rsidRDefault="008A7E8E" w:rsidP="008A7E8E">
            <w:pPr>
              <w:spacing w:after="0" w:line="240" w:lineRule="auto"/>
              <w:rPr>
                <w:sz w:val="24"/>
              </w:rPr>
            </w:pPr>
            <w:r w:rsidRPr="008A7E8E">
              <w:rPr>
                <w:sz w:val="24"/>
              </w:rPr>
              <w:t>Throughout the two years there will likely be opportunities to visit the theatre to see some of the texts we study on stage – this will change year on year depending on the shows available.</w:t>
            </w:r>
          </w:p>
          <w:p w14:paraId="44C570F8" w14:textId="77777777" w:rsidR="00674ECC" w:rsidRDefault="00674ECC">
            <w:pPr>
              <w:spacing w:after="0"/>
            </w:pPr>
          </w:p>
        </w:tc>
      </w:tr>
      <w:tr w:rsidR="00EC0CE9" w14:paraId="647E7B58" w14:textId="77777777" w:rsidTr="00FE5B75">
        <w:trPr>
          <w:trHeight w:val="632"/>
        </w:trPr>
        <w:tc>
          <w:tcPr>
            <w:tcW w:w="10065" w:type="dxa"/>
            <w:gridSpan w:val="8"/>
            <w:tcBorders>
              <w:top w:val="single" w:sz="4" w:space="0" w:color="000000"/>
              <w:left w:val="single" w:sz="4" w:space="0" w:color="000000"/>
              <w:bottom w:val="single" w:sz="4" w:space="0" w:color="000000"/>
              <w:right w:val="single" w:sz="4" w:space="0" w:color="000000"/>
            </w:tcBorders>
            <w:vAlign w:val="bottom"/>
          </w:tcPr>
          <w:p w14:paraId="3F34C26C" w14:textId="303F4A34" w:rsidR="00EC0CE9" w:rsidRPr="00FE5B75" w:rsidRDefault="00FE5B75">
            <w:pPr>
              <w:spacing w:after="132" w:line="275" w:lineRule="auto"/>
              <w:rPr>
                <w:rFonts w:ascii="Ink Free" w:eastAsia="Ink Free" w:hAnsi="Ink Free" w:cs="Ink Free"/>
                <w:color w:val="A50021"/>
              </w:rPr>
            </w:pPr>
            <w:r w:rsidRPr="00FE5B75">
              <w:rPr>
                <w:rFonts w:ascii="Ink Free" w:eastAsia="Ink Free" w:hAnsi="Ink Free" w:cs="Ink Free"/>
                <w:color w:val="A50021"/>
                <w:sz w:val="24"/>
              </w:rPr>
              <w:t>ALTERNATIVE PROVISION</w:t>
            </w:r>
          </w:p>
          <w:p w14:paraId="65706BF6" w14:textId="77777777" w:rsidR="00FE5B75" w:rsidRPr="00FE5B75" w:rsidRDefault="00FE5B75">
            <w:pPr>
              <w:spacing w:after="132" w:line="275" w:lineRule="auto"/>
              <w:rPr>
                <w:rFonts w:asciiTheme="minorHAnsi" w:eastAsia="Ink Free" w:hAnsiTheme="minorHAnsi" w:cstheme="minorHAnsi"/>
                <w:color w:val="auto"/>
                <w:sz w:val="24"/>
              </w:rPr>
            </w:pPr>
            <w:r w:rsidRPr="00FE5B75">
              <w:rPr>
                <w:rFonts w:asciiTheme="minorHAnsi" w:eastAsia="Ink Free" w:hAnsiTheme="minorHAnsi" w:cstheme="minorHAnsi"/>
                <w:color w:val="auto"/>
                <w:sz w:val="24"/>
              </w:rPr>
              <w:t>The English department is also in the early stages of offering Functional Skills as an alternative or additional provision for select students.</w:t>
            </w:r>
          </w:p>
          <w:p w14:paraId="78E7824B" w14:textId="6C19755E" w:rsidR="00FE5B75" w:rsidRDefault="00FE5B75">
            <w:pPr>
              <w:spacing w:after="132" w:line="275" w:lineRule="auto"/>
              <w:rPr>
                <w:rFonts w:ascii="Ink Free" w:eastAsia="Ink Free" w:hAnsi="Ink Free" w:cs="Ink Free"/>
                <w:color w:val="A50021"/>
                <w:sz w:val="24"/>
              </w:rPr>
            </w:pPr>
            <w:r w:rsidRPr="00FE5B75">
              <w:rPr>
                <w:rFonts w:asciiTheme="minorHAnsi" w:eastAsia="Ink Free" w:hAnsiTheme="minorHAnsi" w:cstheme="minorHAnsi"/>
                <w:color w:val="auto"/>
                <w:sz w:val="24"/>
              </w:rPr>
              <w:t>For more information please contact us.</w:t>
            </w:r>
          </w:p>
        </w:tc>
      </w:tr>
      <w:tr w:rsidR="00674ECC" w14:paraId="3047BF88" w14:textId="77777777">
        <w:trPr>
          <w:trHeight w:val="824"/>
        </w:trPr>
        <w:tc>
          <w:tcPr>
            <w:tcW w:w="10065" w:type="dxa"/>
            <w:gridSpan w:val="8"/>
            <w:tcBorders>
              <w:top w:val="single" w:sz="4" w:space="0" w:color="000000"/>
              <w:left w:val="single" w:sz="4" w:space="0" w:color="000000"/>
              <w:bottom w:val="single" w:sz="4" w:space="0" w:color="000000"/>
              <w:right w:val="single" w:sz="4" w:space="0" w:color="000000"/>
            </w:tcBorders>
            <w:shd w:val="clear" w:color="auto" w:fill="0060A9"/>
            <w:vAlign w:val="center"/>
          </w:tcPr>
          <w:p w14:paraId="3C3AA138" w14:textId="77777777" w:rsidR="00674ECC" w:rsidRDefault="00FE5B75">
            <w:pPr>
              <w:spacing w:after="0"/>
              <w:ind w:right="15"/>
              <w:jc w:val="center"/>
            </w:pPr>
            <w:r>
              <w:rPr>
                <w:b/>
                <w:color w:val="FFFFFF"/>
                <w:sz w:val="24"/>
              </w:rPr>
              <w:t>FOR MORE INFORMATION, PLEASE CONTACT MRS WHITELEY-</w:t>
            </w:r>
            <w:proofErr w:type="gramStart"/>
            <w:r w:rsidRPr="008A7E8E">
              <w:rPr>
                <w:b/>
                <w:color w:val="FFFFFF" w:themeColor="background1"/>
                <w:sz w:val="24"/>
              </w:rPr>
              <w:t>FULLER</w:t>
            </w:r>
            <w:r w:rsidRPr="008A7E8E">
              <w:rPr>
                <w:b/>
                <w:color w:val="FFFFFF" w:themeColor="background1"/>
                <w:sz w:val="24"/>
              </w:rPr>
              <w:t xml:space="preserve"> </w:t>
            </w:r>
            <w:r w:rsidR="008A7E8E" w:rsidRPr="008A7E8E">
              <w:rPr>
                <w:b/>
                <w:color w:val="FFFFFF" w:themeColor="background1"/>
                <w:sz w:val="24"/>
              </w:rPr>
              <w:t xml:space="preserve"> OR</w:t>
            </w:r>
            <w:proofErr w:type="gramEnd"/>
            <w:r w:rsidR="008A7E8E" w:rsidRPr="008A7E8E">
              <w:rPr>
                <w:b/>
                <w:color w:val="FFFFFF" w:themeColor="background1"/>
                <w:sz w:val="24"/>
              </w:rPr>
              <w:t xml:space="preserve"> MISS HANNAH BRIGGS</w:t>
            </w:r>
          </w:p>
        </w:tc>
      </w:tr>
    </w:tbl>
    <w:p w14:paraId="4B8B843F" w14:textId="77777777" w:rsidR="00674ECC" w:rsidRDefault="00FE5B75">
      <w:pPr>
        <w:spacing w:after="0"/>
        <w:ind w:left="-720"/>
        <w:jc w:val="both"/>
      </w:pPr>
      <w:r>
        <w:t xml:space="preserve"> </w:t>
      </w:r>
      <w:bookmarkStart w:id="0" w:name="_GoBack"/>
      <w:bookmarkEnd w:id="0"/>
    </w:p>
    <w:sectPr w:rsidR="00674ECC">
      <w:pgSz w:w="11906" w:h="16838"/>
      <w:pgMar w:top="725" w:right="1440" w:bottom="8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CC"/>
    <w:rsid w:val="00674ECC"/>
    <w:rsid w:val="008A7E8E"/>
    <w:rsid w:val="009E7D26"/>
    <w:rsid w:val="00EC0CE9"/>
    <w:rsid w:val="00FE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5A8C"/>
  <w15:docId w15:val="{8744C379-5CB3-470D-B9AE-2FCB7F65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qa.org.uk/subjects/english/gcse/english-language-8700" TargetMode="External"/><Relationship Id="rId13" Type="http://schemas.openxmlformats.org/officeDocument/2006/relationships/hyperlink" Target="https://www.aqa.org.uk/subjects/english/gcse/english-language-8700" TargetMode="External"/><Relationship Id="rId18" Type="http://schemas.openxmlformats.org/officeDocument/2006/relationships/hyperlink" Target="https://www.aqa.org.uk/subjects/english/gcse/english-literature-87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aqa.org.uk/subjects/english/gcse/english-language-8700" TargetMode="External"/><Relationship Id="rId17" Type="http://schemas.openxmlformats.org/officeDocument/2006/relationships/hyperlink" Target="https://www.aqa.org.uk/subjects/english/gcse/english-literature-8702" TargetMode="External"/><Relationship Id="rId2" Type="http://schemas.openxmlformats.org/officeDocument/2006/relationships/customXml" Target="../customXml/item2.xml"/><Relationship Id="rId16" Type="http://schemas.openxmlformats.org/officeDocument/2006/relationships/hyperlink" Target="https://www.aqa.org.uk/subjects/english/gcse/english-literature-87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qa.org.uk/subjects/english/gcse/english-language-8700" TargetMode="External"/><Relationship Id="rId5" Type="http://schemas.openxmlformats.org/officeDocument/2006/relationships/settings" Target="settings.xml"/><Relationship Id="rId15" Type="http://schemas.openxmlformats.org/officeDocument/2006/relationships/hyperlink" Target="https://www.aqa.org.uk/subjects/english/gcse/english-literature-8702" TargetMode="External"/><Relationship Id="rId10" Type="http://schemas.openxmlformats.org/officeDocument/2006/relationships/hyperlink" Target="https://www.aqa.org.uk/subjects/english/gcse/english-language-8700" TargetMode="External"/><Relationship Id="rId19" Type="http://schemas.openxmlformats.org/officeDocument/2006/relationships/hyperlink" Target="https://www.aqa.org.uk/subjects/english/gcse/english-literature-8702" TargetMode="External"/><Relationship Id="rId4" Type="http://schemas.openxmlformats.org/officeDocument/2006/relationships/styles" Target="styles.xml"/><Relationship Id="rId9" Type="http://schemas.openxmlformats.org/officeDocument/2006/relationships/hyperlink" Target="https://www.aqa.org.uk/subjects/english/gcse/english-language-8700" TargetMode="External"/><Relationship Id="rId14" Type="http://schemas.openxmlformats.org/officeDocument/2006/relationships/hyperlink" Target="https://www.aqa.org.uk/subjects/english/gcse/english-literature-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5" ma:contentTypeDescription="Create a new document." ma:contentTypeScope="" ma:versionID="e3d2d6b5c8c06ef16e0852b8ce2c853c">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65870e182940acfed50471327ed63788"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Props1.xml><?xml version="1.0" encoding="utf-8"?>
<ds:datastoreItem xmlns:ds="http://schemas.openxmlformats.org/officeDocument/2006/customXml" ds:itemID="{1CD2EAAC-5F18-41D3-96DA-55A6B49A6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176F7-1328-4388-835C-108D049C7EA1}">
  <ds:schemaRefs>
    <ds:schemaRef ds:uri="http://schemas.microsoft.com/sharepoint/v3/contenttype/forms"/>
  </ds:schemaRefs>
</ds:datastoreItem>
</file>

<file path=customXml/itemProps3.xml><?xml version="1.0" encoding="utf-8"?>
<ds:datastoreItem xmlns:ds="http://schemas.openxmlformats.org/officeDocument/2006/customXml" ds:itemID="{BBFE141D-446B-4D3E-9BD7-126B1A8A2778}">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6456e5f-3136-45a3-9c04-7c62e0736af2"/>
    <ds:schemaRef ds:uri="72219310-084a-4401-b357-b8a05f0130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Hartnell</dc:creator>
  <cp:keywords/>
  <cp:lastModifiedBy>Mrs K Whiteley-Fuller</cp:lastModifiedBy>
  <cp:revision>3</cp:revision>
  <dcterms:created xsi:type="dcterms:W3CDTF">2024-04-24T11:46:00Z</dcterms:created>
  <dcterms:modified xsi:type="dcterms:W3CDTF">2024-04-24T12:02:00Z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